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D8" w:rsidRDefault="004228D8" w:rsidP="004228D8">
      <w:pPr>
        <w:rPr>
          <w:caps/>
        </w:rPr>
      </w:pPr>
      <w:r w:rsidRPr="00977212">
        <w:rPr>
          <w:caps/>
        </w:rPr>
        <w:t>Позив за исказивање интереса за аплицирање на „Јавни позив потенцијалним корисницима за исказивање интереса за мјеру подршке инвестицијама у диверзификацију економских и социјалних активности у руралним подручјима“</w:t>
      </w:r>
    </w:p>
    <w:p w:rsidR="00977212" w:rsidRPr="00977212" w:rsidRDefault="00977212" w:rsidP="004228D8">
      <w:pPr>
        <w:rPr>
          <w:caps/>
        </w:rPr>
      </w:pPr>
    </w:p>
    <w:p w:rsidR="004228D8" w:rsidRDefault="004228D8" w:rsidP="004228D8">
      <w:r>
        <w:t>Позивају се пољопривредна газдинства, регистровани привредни субјекти, удружења и приватне установе или приватна предузећа (у даљем тексту корисници) да искажу своје интересовање и пошаљу своје пријаве Граду Источно Сарајево</w:t>
      </w:r>
      <w:r w:rsidR="000369CF">
        <w:rPr>
          <w:lang w:val="sr-Cyrl-BA"/>
        </w:rPr>
        <w:t>,</w:t>
      </w:r>
      <w:r>
        <w:t xml:space="preserve"> уколико су заинтересовани за аплицирање на „Јавни позив потенцијалним корисницима за исказивање интереса за мјеру подршке инвестицијама у диверзификацију економских и социјалних активности у руралним подручјима“. </w:t>
      </w:r>
    </w:p>
    <w:p w:rsidR="00550803" w:rsidRDefault="004228D8" w:rsidP="004228D8">
      <w:r>
        <w:t xml:space="preserve">Позив је објављен од стране програма </w:t>
      </w:r>
      <w:r w:rsidR="000369CF" w:rsidRPr="004228D8">
        <w:t>EU4Agri</w:t>
      </w:r>
      <w:r>
        <w:t xml:space="preserve">, а пријаве од стране заинтересованих корисника са подручја Источног Сарајева се могу </w:t>
      </w:r>
      <w:r w:rsidR="0069325D">
        <w:t>предати у оквиру два ЛОТ-а на с</w:t>
      </w:r>
      <w:r w:rsidR="0069325D">
        <w:rPr>
          <w:lang w:val="sr-Cyrl-BA"/>
        </w:rPr>
        <w:t>љ</w:t>
      </w:r>
      <w:r>
        <w:t xml:space="preserve">едећи начин: </w:t>
      </w:r>
    </w:p>
    <w:p w:rsidR="004228D8" w:rsidRDefault="004228D8" w:rsidP="004228D8">
      <w:r>
        <w:t>1.</w:t>
      </w:r>
      <w:r>
        <w:tab/>
        <w:t xml:space="preserve">У оквиру ЛОТ 1 - Диверзификација економских активности на газдинствима (подршка пољопривредним произвођачима за увођење нових извора прихода на газдинствима)  пријавити се могу: </w:t>
      </w:r>
    </w:p>
    <w:p w:rsidR="004228D8" w:rsidRDefault="004228D8" w:rsidP="004228D8">
      <w:r>
        <w:t>•</w:t>
      </w:r>
      <w:r>
        <w:tab/>
      </w:r>
      <w:r w:rsidRPr="004228D8">
        <w:rPr>
          <w:b/>
        </w:rPr>
        <w:t>пољопривредна газдинства</w:t>
      </w:r>
      <w:r>
        <w:t xml:space="preserve"> (физичка лица) која су уписана у регистар пољопривредних газдинства најкасније од 01.01.2021. године и активно се баве примарном пољопривредном производњом и/или прерадом пољопривредних производа и/или услугом агро-туризма и/или традиционалним занатом на газдинствима и/или директном продајом властитих производа на газдинству;</w:t>
      </w:r>
    </w:p>
    <w:p w:rsidR="004228D8" w:rsidRDefault="004228D8" w:rsidP="004228D8">
      <w:r>
        <w:t>•</w:t>
      </w:r>
      <w:r>
        <w:tab/>
      </w:r>
      <w:r w:rsidRPr="004228D8">
        <w:rPr>
          <w:b/>
        </w:rPr>
        <w:t>регистровани привредни субјекти</w:t>
      </w:r>
      <w:r>
        <w:t xml:space="preserve"> (обрти/самостални предузетници, задруге и предузећа) у рангу микро предузећа  (до 500.000 КМ годишњег промета) који су регистровани не касније од 01.01.2021. године и уписани у регистар пољопривредних газдинства најкасније 01.01.2021. године и који се активно баве примарном пољопривредном производњом и/или прерадом пољопривредних производа и/или услугом агро - туризма и/или традиционалним занатом на газдинствима.</w:t>
      </w:r>
    </w:p>
    <w:p w:rsidR="004228D8" w:rsidRDefault="004228D8" w:rsidP="004228D8"/>
    <w:p w:rsidR="004228D8" w:rsidRDefault="004228D8" w:rsidP="004228D8">
      <w:r>
        <w:t>2.</w:t>
      </w:r>
      <w:r>
        <w:tab/>
        <w:t>У оквиру ЛОТ 2 - Диверзификација економских/социјалних активности у руралним подручјима, пријавити се могу:</w:t>
      </w:r>
    </w:p>
    <w:p w:rsidR="004228D8" w:rsidRDefault="004228D8" w:rsidP="004228D8">
      <w:r>
        <w:t>•</w:t>
      </w:r>
      <w:r>
        <w:tab/>
      </w:r>
      <w:r w:rsidRPr="004228D8">
        <w:rPr>
          <w:b/>
        </w:rPr>
        <w:t>удружења</w:t>
      </w:r>
      <w:r>
        <w:t xml:space="preserve">, </w:t>
      </w:r>
    </w:p>
    <w:p w:rsidR="004228D8" w:rsidRDefault="004228D8" w:rsidP="004228D8">
      <w:r>
        <w:t>•</w:t>
      </w:r>
      <w:r>
        <w:tab/>
      </w:r>
      <w:r w:rsidRPr="004228D8">
        <w:rPr>
          <w:b/>
        </w:rPr>
        <w:t>приватне установе или приватна предузећа</w:t>
      </w:r>
      <w:r>
        <w:t xml:space="preserve"> </w:t>
      </w:r>
    </w:p>
    <w:p w:rsidR="004228D8" w:rsidRDefault="004228D8" w:rsidP="004228D8">
      <w:r>
        <w:t xml:space="preserve">која су регистрована не касније од 01.01.2021. године а пружају или планирају пружати </w:t>
      </w:r>
    </w:p>
    <w:p w:rsidR="004228D8" w:rsidRDefault="004228D8" w:rsidP="004228D8">
      <w:r>
        <w:t>економске/социјалне услуге у руралним подручјима.</w:t>
      </w:r>
    </w:p>
    <w:p w:rsidR="004228D8" w:rsidRDefault="004228D8" w:rsidP="004228D8"/>
    <w:p w:rsidR="004228D8" w:rsidRDefault="004228D8" w:rsidP="004228D8">
      <w:r>
        <w:t xml:space="preserve">Процес пријаве/исказивања интереса корисника представља први корак, јер се процедура аплицирања за бесповратна средства обавља искључиво преко јединица локалне самоуправе, односно, Града Источно Сарајево. </w:t>
      </w:r>
    </w:p>
    <w:p w:rsidR="004228D8" w:rsidRDefault="004228D8" w:rsidP="004228D8">
      <w:r>
        <w:lastRenderedPageBreak/>
        <w:t xml:space="preserve">У другом кораку, након што пошаљу своје пријаве Граду, одабрани корисници ће морати </w:t>
      </w:r>
      <w:r>
        <w:rPr>
          <w:lang w:val="sr-Cyrl-BA"/>
        </w:rPr>
        <w:t>да</w:t>
      </w:r>
      <w:r>
        <w:t xml:space="preserve"> </w:t>
      </w:r>
      <w:r w:rsidRPr="004228D8">
        <w:rPr>
          <w:b/>
        </w:rPr>
        <w:t>доставе концепте пројектних приједлога и обавезну документацију</w:t>
      </w:r>
      <w:r>
        <w:t xml:space="preserve"> која је прописана у „Смјерницама за подносиоце пријава“ (преузети на страници програма линк: https://eu4agri.ba/calls/javni-poziv-za-mjeru-podrske-investicijama-u-diverzifikaciju-ekonomskih-i-socijalnih-aktivnosti-u-ruralnim-podrucjima/ ).</w:t>
      </w:r>
      <w:r>
        <w:rPr>
          <w:lang w:val="sr-Cyrl-BA"/>
        </w:rPr>
        <w:t xml:space="preserve">  </w:t>
      </w:r>
      <w:r>
        <w:t>Град Источно Сарајево ће након тога аплицирати у одабраних корисника са једном пријавом.</w:t>
      </w:r>
    </w:p>
    <w:p w:rsidR="004228D8" w:rsidRDefault="004228D8" w:rsidP="004228D8"/>
    <w:p w:rsidR="004228D8" w:rsidRDefault="004228D8" w:rsidP="004228D8">
      <w:r w:rsidRPr="004228D8">
        <w:rPr>
          <w:b/>
        </w:rPr>
        <w:t>Рок</w:t>
      </w:r>
      <w:r>
        <w:t xml:space="preserve"> за подношење пријава Граду Источно Сарајево је </w:t>
      </w:r>
      <w:r w:rsidRPr="004228D8">
        <w:rPr>
          <w:b/>
        </w:rPr>
        <w:t>04.11.2022. године до 12:00 часова</w:t>
      </w:r>
      <w:r>
        <w:t xml:space="preserve">.  </w:t>
      </w:r>
    </w:p>
    <w:p w:rsidR="004228D8" w:rsidRDefault="004228D8" w:rsidP="004228D8">
      <w:r>
        <w:t xml:space="preserve">Процес пријаве обавља се искључиво путем </w:t>
      </w:r>
      <w:r>
        <w:rPr>
          <w:lang w:val="sr-Cyrl-BA"/>
        </w:rPr>
        <w:t>и-</w:t>
      </w:r>
      <w:r>
        <w:t xml:space="preserve">мејла:  </w:t>
      </w:r>
      <w:r w:rsidRPr="004228D8">
        <w:t>privreda@gradistocnosarajevo.net</w:t>
      </w:r>
    </w:p>
    <w:p w:rsidR="004228D8" w:rsidRDefault="004228D8" w:rsidP="004228D8">
      <w:r>
        <w:t xml:space="preserve">У наслову (Предмет/ </w:t>
      </w:r>
      <w:r w:rsidRPr="004228D8">
        <w:t>Subject)</w:t>
      </w:r>
      <w:r>
        <w:t xml:space="preserve"> и-мејла треба да стоји: „Пријава за аплицирање на јавни позив потенцијалним корисницима за исказивање интереса за мјеру подршке инвестицијама у диверзификацију економских и социјалних активности у руралним подручјима – ЛОТ 1/ЛОТ 2“ (унијети ЛОТ за који се пријављујете), док</w:t>
      </w:r>
      <w:r w:rsidR="00B87AB4">
        <w:t xml:space="preserve"> у тексту е-маила потребно је да</w:t>
      </w:r>
      <w:bookmarkStart w:id="0" w:name="_GoBack"/>
      <w:bookmarkEnd w:id="0"/>
      <w:r>
        <w:t xml:space="preserve"> се наведе назив газдинства/МСП/удружења итд. које се пријављује/исказује интерес. </w:t>
      </w:r>
    </w:p>
    <w:p w:rsidR="004228D8" w:rsidRDefault="004228D8" w:rsidP="004228D8">
      <w:r>
        <w:t>У прилогу и-мејла обавезно треба доставити и доказ о регистрацији (скенирано)и то:</w:t>
      </w:r>
    </w:p>
    <w:p w:rsidR="004228D8" w:rsidRDefault="004228D8" w:rsidP="004228D8">
      <w:r>
        <w:t>•</w:t>
      </w:r>
      <w:r>
        <w:tab/>
        <w:t>газдинства – Рјешења о упису у регистар АПИФ –а,</w:t>
      </w:r>
    </w:p>
    <w:p w:rsidR="004228D8" w:rsidRDefault="004228D8" w:rsidP="004228D8">
      <w:r>
        <w:t>•</w:t>
      </w:r>
      <w:r>
        <w:tab/>
        <w:t>привредни субјекти – Рјешење о регистрацији издато од стране надлежног органа,</w:t>
      </w:r>
    </w:p>
    <w:p w:rsidR="004228D8" w:rsidRDefault="004228D8" w:rsidP="004228D8">
      <w:r>
        <w:t>•</w:t>
      </w:r>
      <w:r>
        <w:tab/>
        <w:t>удружења -  Рјешење о регистрацији издато од стране надлежног органа,</w:t>
      </w:r>
    </w:p>
    <w:p w:rsidR="004228D8" w:rsidRDefault="004228D8" w:rsidP="004228D8">
      <w:r>
        <w:t>•</w:t>
      </w:r>
      <w:r>
        <w:tab/>
        <w:t>приватне установе или приватна предузећа -  Рјешење о регистрацији издато од стране надлежног органа.</w:t>
      </w:r>
    </w:p>
    <w:p w:rsidR="004228D8" w:rsidRDefault="004228D8" w:rsidP="004228D8"/>
    <w:p w:rsidR="004228D8" w:rsidRDefault="004228D8" w:rsidP="004228D8">
      <w:r>
        <w:t xml:space="preserve">Корисници који буду одабрани по основу пријаве могу аплицирати за бесповратна средства </w:t>
      </w:r>
      <w:r w:rsidRPr="004228D8">
        <w:t>EU4Agri</w:t>
      </w:r>
      <w:r>
        <w:t xml:space="preserve"> </w:t>
      </w:r>
      <w:r w:rsidRPr="004228D8">
        <w:rPr>
          <w:b/>
        </w:rPr>
        <w:t>у износу од 50.000 КМ до 200.000 КМ</w:t>
      </w:r>
      <w:r>
        <w:t xml:space="preserve"> </w:t>
      </w:r>
      <w:r w:rsidRPr="004228D8">
        <w:rPr>
          <w:b/>
        </w:rPr>
        <w:t>без ПДВ- а</w:t>
      </w:r>
      <w:r>
        <w:t xml:space="preserve"> по једном пројекту уз </w:t>
      </w:r>
      <w:r w:rsidRPr="004228D8">
        <w:rPr>
          <w:b/>
        </w:rPr>
        <w:t>финансијско учешће у укупним трошковима појединачног пројекта од 25 %.</w:t>
      </w:r>
    </w:p>
    <w:p w:rsidR="004228D8" w:rsidRDefault="004228D8" w:rsidP="004228D8">
      <w:r>
        <w:t>Напомињемо да су неприхватљиве инвестиције и трошкови који се не могу финансирати кроз овај јавни позив нити кроз сопствена средства корисника сљедеће:</w:t>
      </w:r>
    </w:p>
    <w:p w:rsidR="004228D8" w:rsidRDefault="004228D8" w:rsidP="004228D8">
      <w:r>
        <w:t>•</w:t>
      </w:r>
      <w:r>
        <w:tab/>
        <w:t>Трошкови плата и накнада за подносиоца пријаве и крајњих корисника;</w:t>
      </w:r>
    </w:p>
    <w:p w:rsidR="004228D8" w:rsidRDefault="004228D8" w:rsidP="004228D8">
      <w:r>
        <w:t>•</w:t>
      </w:r>
      <w:r>
        <w:tab/>
        <w:t>Набавка опреме, машина, алата, комуникацијских уређаја, хардвера и софтвера те осталих роба (дјелимична или потпуна) извршена на основу донација и поклона или подршке у оквиру међународних пројеката, донација, односно из бесповратних средстава било којег нивоа власти у БиХ;</w:t>
      </w:r>
    </w:p>
    <w:p w:rsidR="004228D8" w:rsidRDefault="004228D8" w:rsidP="004228D8">
      <w:r>
        <w:t>•</w:t>
      </w:r>
      <w:r>
        <w:tab/>
        <w:t>Набавка кориштене опреме;</w:t>
      </w:r>
    </w:p>
    <w:p w:rsidR="004228D8" w:rsidRDefault="004228D8" w:rsidP="004228D8">
      <w:r>
        <w:t>•</w:t>
      </w:r>
      <w:r>
        <w:tab/>
        <w:t>Набавка кориштеног грађевинског материјала;</w:t>
      </w:r>
    </w:p>
    <w:p w:rsidR="004228D8" w:rsidRDefault="004228D8" w:rsidP="004228D8">
      <w:r>
        <w:t>•</w:t>
      </w:r>
      <w:r>
        <w:tab/>
        <w:t>Поправка постојеће опреме;</w:t>
      </w:r>
    </w:p>
    <w:p w:rsidR="004228D8" w:rsidRDefault="004228D8" w:rsidP="004228D8">
      <w:r>
        <w:t>•</w:t>
      </w:r>
      <w:r>
        <w:tab/>
        <w:t>Куповина пољопривредног и грађевинског земљишта и већ постојећих зграда и објеката</w:t>
      </w:r>
    </w:p>
    <w:p w:rsidR="004228D8" w:rsidRDefault="004228D8" w:rsidP="004228D8">
      <w:r>
        <w:t>•</w:t>
      </w:r>
      <w:r>
        <w:tab/>
        <w:t>Куповина објеката за најам или продају;</w:t>
      </w:r>
    </w:p>
    <w:p w:rsidR="004228D8" w:rsidRDefault="004228D8" w:rsidP="004228D8">
      <w:r>
        <w:lastRenderedPageBreak/>
        <w:t>•</w:t>
      </w:r>
      <w:r>
        <w:tab/>
        <w:t>Адаптација дијелова објеката који ће се искључиво користити за личну употребу;</w:t>
      </w:r>
    </w:p>
    <w:p w:rsidR="004228D8" w:rsidRDefault="004228D8" w:rsidP="004228D8">
      <w:r>
        <w:t>•</w:t>
      </w:r>
      <w:r>
        <w:tab/>
        <w:t>Међународна путовања;</w:t>
      </w:r>
    </w:p>
    <w:p w:rsidR="004228D8" w:rsidRDefault="004228D8" w:rsidP="004228D8">
      <w:r>
        <w:t>•</w:t>
      </w:r>
      <w:r>
        <w:tab/>
        <w:t>Набавка сировина, репроматеријала и полупроизвода;</w:t>
      </w:r>
    </w:p>
    <w:p w:rsidR="004228D8" w:rsidRDefault="004228D8" w:rsidP="004228D8">
      <w:r>
        <w:t>•</w:t>
      </w:r>
      <w:r>
        <w:tab/>
        <w:t>Набавка сјеменског и садног материјала или животиња;</w:t>
      </w:r>
    </w:p>
    <w:p w:rsidR="004228D8" w:rsidRDefault="004228D8" w:rsidP="004228D8">
      <w:r>
        <w:t>•</w:t>
      </w:r>
      <w:r>
        <w:tab/>
        <w:t>Набавка возила свих категорија (укључује трактор, виљушкар, и сл.);</w:t>
      </w:r>
    </w:p>
    <w:p w:rsidR="004228D8" w:rsidRDefault="004228D8" w:rsidP="004228D8">
      <w:r>
        <w:t>•</w:t>
      </w:r>
      <w:r>
        <w:tab/>
        <w:t>Амортизација;</w:t>
      </w:r>
    </w:p>
    <w:p w:rsidR="004228D8" w:rsidRDefault="004228D8" w:rsidP="004228D8">
      <w:r>
        <w:t>•</w:t>
      </w:r>
      <w:r>
        <w:tab/>
        <w:t>Порези укључујући ПДВ, царинске, увозне дажбине и остале накнаде држави, те услуге шпедиције;</w:t>
      </w:r>
    </w:p>
    <w:p w:rsidR="004228D8" w:rsidRDefault="004228D8" w:rsidP="004228D8">
      <w:r>
        <w:t>•</w:t>
      </w:r>
      <w:r>
        <w:tab/>
        <w:t>Банкарски трошкови, трошкови гаранција и слични трошкови;</w:t>
      </w:r>
    </w:p>
    <w:p w:rsidR="004228D8" w:rsidRDefault="004228D8" w:rsidP="004228D8">
      <w:r>
        <w:t>•</w:t>
      </w:r>
      <w:r>
        <w:tab/>
        <w:t xml:space="preserve">Трошкови конверзије, трошкови курсних разлика и накнада; </w:t>
      </w:r>
    </w:p>
    <w:p w:rsidR="004228D8" w:rsidRDefault="004228D8" w:rsidP="004228D8">
      <w:r>
        <w:t>•</w:t>
      </w:r>
      <w:r>
        <w:tab/>
        <w:t>Казне, финансијски пенали и судски трошкови;</w:t>
      </w:r>
    </w:p>
    <w:p w:rsidR="004228D8" w:rsidRDefault="004228D8" w:rsidP="004228D8">
      <w:r>
        <w:t>•</w:t>
      </w:r>
      <w:r>
        <w:tab/>
        <w:t>Трошкови одржавања и/или закупа;</w:t>
      </w:r>
    </w:p>
    <w:p w:rsidR="004228D8" w:rsidRDefault="004228D8" w:rsidP="004228D8">
      <w:r>
        <w:t>•</w:t>
      </w:r>
      <w:r>
        <w:tab/>
        <w:t>Трошкови изнајмљивања земљишта, опреме, машина или простора;</w:t>
      </w:r>
    </w:p>
    <w:p w:rsidR="004228D8" w:rsidRDefault="004228D8" w:rsidP="004228D8">
      <w:r>
        <w:t>•</w:t>
      </w:r>
      <w:r>
        <w:tab/>
        <w:t>Плаћање у натури и компензација која није проведена преко банковног рачуна;</w:t>
      </w:r>
    </w:p>
    <w:p w:rsidR="004228D8" w:rsidRDefault="004228D8" w:rsidP="004228D8">
      <w:r>
        <w:t>•</w:t>
      </w:r>
      <w:r>
        <w:tab/>
        <w:t>Набавка извршена путем лизинга;</w:t>
      </w:r>
    </w:p>
    <w:p w:rsidR="004228D8" w:rsidRDefault="004228D8" w:rsidP="004228D8">
      <w:r>
        <w:t>•</w:t>
      </w:r>
      <w:r>
        <w:tab/>
        <w:t>Трошкови уређења парцела насталих прије припремних грађевинских радова на изградњи објеката (уклањање вегетације, равнање терена итд.).</w:t>
      </w:r>
    </w:p>
    <w:p w:rsidR="004228D8" w:rsidRDefault="004228D8" w:rsidP="004228D8"/>
    <w:p w:rsidR="00497A5B" w:rsidRPr="004228D8" w:rsidRDefault="00497A5B" w:rsidP="004228D8"/>
    <w:sectPr w:rsidR="00497A5B" w:rsidRPr="004228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2B" w:rsidRDefault="006F172B" w:rsidP="0081424F">
      <w:pPr>
        <w:spacing w:after="0" w:line="240" w:lineRule="auto"/>
      </w:pPr>
      <w:r>
        <w:separator/>
      </w:r>
    </w:p>
  </w:endnote>
  <w:endnote w:type="continuationSeparator" w:id="0">
    <w:p w:rsidR="006F172B" w:rsidRDefault="006F172B" w:rsidP="0081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2B" w:rsidRDefault="006F172B" w:rsidP="0081424F">
      <w:pPr>
        <w:spacing w:after="0" w:line="240" w:lineRule="auto"/>
      </w:pPr>
      <w:r>
        <w:separator/>
      </w:r>
    </w:p>
  </w:footnote>
  <w:footnote w:type="continuationSeparator" w:id="0">
    <w:p w:rsidR="006F172B" w:rsidRDefault="006F172B" w:rsidP="00814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FCF"/>
    <w:multiLevelType w:val="hybridMultilevel"/>
    <w:tmpl w:val="1DA8FFD4"/>
    <w:lvl w:ilvl="0" w:tplc="6FDE1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61CA"/>
    <w:multiLevelType w:val="hybridMultilevel"/>
    <w:tmpl w:val="35E6404E"/>
    <w:lvl w:ilvl="0" w:tplc="1F80D1F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61D9A"/>
    <w:multiLevelType w:val="hybridMultilevel"/>
    <w:tmpl w:val="BA3C4998"/>
    <w:lvl w:ilvl="0" w:tplc="1F80D1F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234A"/>
    <w:multiLevelType w:val="hybridMultilevel"/>
    <w:tmpl w:val="33849DB4"/>
    <w:lvl w:ilvl="0" w:tplc="1F80D1F4">
      <w:numFmt w:val="bullet"/>
      <w:lvlText w:val="•"/>
      <w:lvlJc w:val="left"/>
      <w:pPr>
        <w:ind w:left="2136" w:hanging="708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24557D3"/>
    <w:multiLevelType w:val="hybridMultilevel"/>
    <w:tmpl w:val="CA6669BC"/>
    <w:lvl w:ilvl="0" w:tplc="814EF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11CE0"/>
    <w:multiLevelType w:val="hybridMultilevel"/>
    <w:tmpl w:val="DFD8E7E0"/>
    <w:lvl w:ilvl="0" w:tplc="1F80D1F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E1F8F"/>
    <w:multiLevelType w:val="hybridMultilevel"/>
    <w:tmpl w:val="03F29E04"/>
    <w:lvl w:ilvl="0" w:tplc="1E8C51A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F0E8B"/>
    <w:multiLevelType w:val="hybridMultilevel"/>
    <w:tmpl w:val="2E582D54"/>
    <w:lvl w:ilvl="0" w:tplc="1F80D1F4">
      <w:numFmt w:val="bullet"/>
      <w:lvlText w:val="•"/>
      <w:lvlJc w:val="left"/>
      <w:pPr>
        <w:ind w:left="2136" w:hanging="708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535D6DD4"/>
    <w:multiLevelType w:val="hybridMultilevel"/>
    <w:tmpl w:val="8B5A95E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20837"/>
    <w:multiLevelType w:val="hybridMultilevel"/>
    <w:tmpl w:val="A9B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E1F92"/>
    <w:multiLevelType w:val="hybridMultilevel"/>
    <w:tmpl w:val="CA9A2A74"/>
    <w:lvl w:ilvl="0" w:tplc="814EF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546ED"/>
    <w:multiLevelType w:val="hybridMultilevel"/>
    <w:tmpl w:val="4F38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5C"/>
    <w:rsid w:val="00003C6A"/>
    <w:rsid w:val="00021C36"/>
    <w:rsid w:val="000369CF"/>
    <w:rsid w:val="00084B3D"/>
    <w:rsid w:val="00086A48"/>
    <w:rsid w:val="000E18A3"/>
    <w:rsid w:val="00176D59"/>
    <w:rsid w:val="00187774"/>
    <w:rsid w:val="001D0C48"/>
    <w:rsid w:val="001E2A9F"/>
    <w:rsid w:val="00250158"/>
    <w:rsid w:val="002668A7"/>
    <w:rsid w:val="002B5280"/>
    <w:rsid w:val="002D58D5"/>
    <w:rsid w:val="002D5916"/>
    <w:rsid w:val="00385B9C"/>
    <w:rsid w:val="003F1876"/>
    <w:rsid w:val="004228D8"/>
    <w:rsid w:val="00497A5B"/>
    <w:rsid w:val="004F153D"/>
    <w:rsid w:val="00550803"/>
    <w:rsid w:val="005808B9"/>
    <w:rsid w:val="00617202"/>
    <w:rsid w:val="00660007"/>
    <w:rsid w:val="0069325D"/>
    <w:rsid w:val="006F172B"/>
    <w:rsid w:val="007311B4"/>
    <w:rsid w:val="0077088D"/>
    <w:rsid w:val="0081424F"/>
    <w:rsid w:val="00816EC8"/>
    <w:rsid w:val="00864FF2"/>
    <w:rsid w:val="0088035E"/>
    <w:rsid w:val="008D3661"/>
    <w:rsid w:val="00955C9C"/>
    <w:rsid w:val="00977212"/>
    <w:rsid w:val="009814FB"/>
    <w:rsid w:val="009A7996"/>
    <w:rsid w:val="009F26BF"/>
    <w:rsid w:val="00B65939"/>
    <w:rsid w:val="00B87AB4"/>
    <w:rsid w:val="00BF729D"/>
    <w:rsid w:val="00C5380C"/>
    <w:rsid w:val="00C67A52"/>
    <w:rsid w:val="00C83B20"/>
    <w:rsid w:val="00CC5CB3"/>
    <w:rsid w:val="00D23763"/>
    <w:rsid w:val="00DA3199"/>
    <w:rsid w:val="00DD6FF6"/>
    <w:rsid w:val="00E1676B"/>
    <w:rsid w:val="00E27763"/>
    <w:rsid w:val="00E62567"/>
    <w:rsid w:val="00E7195C"/>
    <w:rsid w:val="00EA4648"/>
    <w:rsid w:val="00ED4DDF"/>
    <w:rsid w:val="00F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68D0-E448-4B00-AB95-F8E11152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,Use Case List Paragraph"/>
    <w:basedOn w:val="Normal"/>
    <w:link w:val="ListParagraphChar"/>
    <w:uiPriority w:val="34"/>
    <w:qFormat/>
    <w:rsid w:val="009814F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808B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8B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9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16 Point,Superscript 6 Point,ftref,BVI fnr,Footnote Reference Char Char Char,Carattere Char Carattere Carattere Char Carattere Char Carattere Char Char Char1 Char,Carattere Carattere Char Char Char Carattere Char,nota pié di pagina,fr"/>
    <w:link w:val="BVIfnrCarChar1"/>
    <w:uiPriority w:val="99"/>
    <w:unhideWhenUsed/>
    <w:qFormat/>
    <w:rsid w:val="0081424F"/>
    <w:rPr>
      <w:vertAlign w:val="superscript"/>
    </w:rPr>
  </w:style>
  <w:style w:type="paragraph" w:customStyle="1" w:styleId="BVIfnrCarChar1">
    <w:name w:val="BVI fnr Car Char1"/>
    <w:basedOn w:val="Normal"/>
    <w:link w:val="FootnoteReference"/>
    <w:uiPriority w:val="99"/>
    <w:qFormat/>
    <w:rsid w:val="0081424F"/>
    <w:pPr>
      <w:spacing w:before="120" w:line="240" w:lineRule="exact"/>
      <w:jc w:val="both"/>
    </w:pPr>
    <w:rPr>
      <w:vertAlign w:val="superscript"/>
    </w:rPr>
  </w:style>
  <w:style w:type="paragraph" w:styleId="FootnoteText">
    <w:name w:val="footnote text"/>
    <w:aliases w:val="single space,footnote text,Geneva 9,Font: Geneva 9,Boston 10,f,Footnote Text Char Char Char,Footnote Text Char Char,Fußnotentextf,Footnote Text Blue,Fußnotentextr,Fuﬂnotentextf,ft,Fußnote,fn, Car Car,Footnote Text Char Char1,- OP, Char1 Ch"/>
    <w:basedOn w:val="Normal"/>
    <w:link w:val="FootnoteTextChar"/>
    <w:uiPriority w:val="99"/>
    <w:unhideWhenUsed/>
    <w:qFormat/>
    <w:rsid w:val="0081424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Geneva 9 Char,Font: Geneva 9 Char,Boston 10 Char,f Char,Footnote Text Char Char Char Char,Footnote Text Char Char Char1,Fußnotentextf Char,Footnote Text Blue Char,Fußnotentextr Char,ft Char,fn Char"/>
    <w:basedOn w:val="DefaultParagraphFont"/>
    <w:link w:val="FootnoteText"/>
    <w:uiPriority w:val="99"/>
    <w:qFormat/>
    <w:rsid w:val="0081424F"/>
    <w:rPr>
      <w:sz w:val="20"/>
      <w:szCs w:val="20"/>
      <w:lang w:val="en-US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81424F"/>
  </w:style>
  <w:style w:type="character" w:styleId="Hyperlink">
    <w:name w:val="Hyperlink"/>
    <w:basedOn w:val="DefaultParagraphFont"/>
    <w:uiPriority w:val="99"/>
    <w:unhideWhenUsed/>
    <w:rsid w:val="00814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Aleksandra Berjan</cp:lastModifiedBy>
  <cp:revision>8</cp:revision>
  <cp:lastPrinted>2022-10-25T09:36:00Z</cp:lastPrinted>
  <dcterms:created xsi:type="dcterms:W3CDTF">2022-10-31T13:58:00Z</dcterms:created>
  <dcterms:modified xsi:type="dcterms:W3CDTF">2022-10-31T14:01:00Z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da1127ce-6d9a-4068-b367-f39f802e8c82</vt:lpwstr>
  </property>
</Properties>
</file>